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Arial" w:eastAsia="Arial" w:hAnsi="Arial" w:cs="Arial"/>
          <w:b/>
          <w:caps/>
          <w:sz w:val="24"/>
        </w:rPr>
      </w:pPr>
      <w:r>
        <w:rPr>
          <w:rFonts w:ascii="Arial" w:eastAsia="Arial" w:hAnsi="Arial" w:cs="Arial"/>
          <w:b/>
          <w:caps/>
          <w:sz w:val="24"/>
        </w:rPr>
        <w:t>Uchwała</w:t>
      </w:r>
      <w:r>
        <w:rPr>
          <w:rFonts w:ascii="Arial" w:eastAsia="Arial" w:hAnsi="Arial" w:cs="Arial"/>
          <w:b/>
          <w:caps/>
          <w:sz w:val="24"/>
        </w:rPr>
        <w:t xml:space="preserve"> Nr LXXIII/930/23</w:t>
      </w:r>
      <w:r>
        <w:rPr>
          <w:rFonts w:ascii="Arial" w:eastAsia="Arial" w:hAnsi="Arial" w:cs="Arial"/>
          <w:b/>
          <w:caps/>
          <w:sz w:val="24"/>
        </w:rPr>
        <w:br/>
      </w:r>
      <w:r>
        <w:rPr>
          <w:rFonts w:ascii="Arial" w:eastAsia="Arial" w:hAnsi="Arial" w:cs="Arial"/>
          <w:b/>
          <w:caps/>
          <w:sz w:val="24"/>
        </w:rPr>
        <w:t>Rady Miejskiej w Bytomiu</w:t>
      </w:r>
    </w:p>
    <w:p w:rsidR="00A77B3E">
      <w:pPr>
        <w:spacing w:before="280" w:after="280" w:line="240" w:lineRule="auto"/>
        <w:ind w:left="0"/>
        <w:jc w:val="center"/>
        <w:rPr>
          <w:rFonts w:ascii="Arial" w:eastAsia="Arial" w:hAnsi="Arial" w:cs="Arial"/>
          <w:b/>
          <w:caps/>
          <w:sz w:val="24"/>
        </w:rPr>
      </w:pPr>
      <w:r>
        <w:rPr>
          <w:rFonts w:ascii="Arial" w:eastAsia="Arial" w:hAnsi="Arial" w:cs="Arial"/>
          <w:b w:val="0"/>
          <w:caps w:val="0"/>
          <w:sz w:val="24"/>
        </w:rPr>
        <w:t>z dnia 30 stycznia 2023 r.</w:t>
      </w:r>
    </w:p>
    <w:p w:rsidR="00A77B3E">
      <w:pPr>
        <w:keepNext/>
        <w:spacing w:before="0" w:after="480" w:line="240" w:lineRule="auto"/>
        <w:ind w:left="0" w:right="0" w:firstLine="0"/>
        <w:jc w:val="center"/>
        <w:rPr>
          <w:rFonts w:ascii="Arial" w:eastAsia="Arial" w:hAnsi="Arial" w:cs="Arial"/>
          <w:b w:val="0"/>
          <w:caps w:val="0"/>
          <w:strike w:val="0"/>
          <w:color w:val="auto"/>
          <w:sz w:val="24"/>
          <w:u w:val="none"/>
        </w:rPr>
      </w:pPr>
      <w:r>
        <w:rPr>
          <w:rFonts w:ascii="Arial" w:eastAsia="Arial" w:hAnsi="Arial" w:cs="Arial"/>
          <w:b/>
          <w:caps w:val="0"/>
          <w:sz w:val="24"/>
        </w:rPr>
        <w:t>w sprawie przyjęcia Strategii Rozwoju Miasta Bytomia „Bytom 2030+”</w:t>
      </w:r>
    </w:p>
    <w:p w:rsidR="00A77B3E">
      <w:pPr>
        <w:keepNext w:val="0"/>
        <w:keepLines/>
        <w:spacing w:before="120" w:after="120" w:line="240" w:lineRule="auto"/>
        <w:ind w:left="0" w:right="0" w:firstLine="227"/>
        <w:jc w:val="left"/>
        <w:rPr>
          <w:rFonts w:ascii="Arial" w:eastAsia="Arial" w:hAnsi="Arial" w:cs="Arial"/>
          <w:b w:val="0"/>
          <w:caps w:val="0"/>
          <w:strike w:val="0"/>
          <w:color w:val="auto"/>
          <w:sz w:val="24"/>
          <w:u w:val="none"/>
        </w:rPr>
      </w:pPr>
      <w:r>
        <w:rPr>
          <w:rFonts w:ascii="Arial" w:eastAsia="Arial" w:hAnsi="Arial" w:cs="Arial"/>
          <w:b w:val="0"/>
          <w:caps w:val="0"/>
          <w:strike w:val="0"/>
          <w:color w:val="auto"/>
          <w:sz w:val="24"/>
          <w:u w:val="none"/>
        </w:rPr>
        <w:t>Na podstawie art.</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10f ust.</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4 ustawy z</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dnia 8</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marca 1990</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r. o</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samorządzie gminnym (Dz.</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U.</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z</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2022</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r. poz.</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559, z</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późn. zm) uchwala się, co następuje:</w:t>
      </w:r>
    </w:p>
    <w:p w:rsidR="00A77B3E">
      <w:pPr>
        <w:keepNext w:val="0"/>
        <w:keepLines/>
        <w:spacing w:before="120" w:after="120" w:line="240" w:lineRule="auto"/>
        <w:ind w:left="0" w:right="0" w:firstLine="340"/>
        <w:jc w:val="left"/>
        <w:rPr>
          <w:rFonts w:ascii="Arial" w:eastAsia="Arial" w:hAnsi="Arial" w:cs="Arial"/>
          <w:b w:val="0"/>
          <w:caps w:val="0"/>
          <w:strike w:val="0"/>
          <w:color w:val="auto"/>
          <w:sz w:val="24"/>
          <w:u w:val="none"/>
        </w:rPr>
      </w:pPr>
      <w:r>
        <w:rPr>
          <w:rFonts w:ascii="Arial" w:eastAsia="Arial" w:hAnsi="Arial" w:cs="Arial"/>
          <w:b/>
          <w:sz w:val="24"/>
        </w:rPr>
        <w:t>§ 1. </w:t>
      </w:r>
      <w:r>
        <w:rPr>
          <w:rFonts w:ascii="Arial" w:eastAsia="Arial" w:hAnsi="Arial" w:cs="Arial"/>
          <w:b w:val="0"/>
          <w:caps w:val="0"/>
          <w:strike w:val="0"/>
          <w:color w:val="auto"/>
          <w:sz w:val="24"/>
          <w:u w:val="none"/>
        </w:rPr>
        <w:t>Przyjmuje się Strategię Rozwoju Miasta Bytomia „Bytom 2030+” stanowiącą załącznik do niniejszej uchwały.</w:t>
      </w:r>
    </w:p>
    <w:p w:rsidR="00A77B3E">
      <w:pPr>
        <w:keepNext w:val="0"/>
        <w:keepLines/>
        <w:spacing w:before="120" w:after="120" w:line="240" w:lineRule="auto"/>
        <w:ind w:left="0" w:right="0" w:firstLine="340"/>
        <w:jc w:val="left"/>
        <w:rPr>
          <w:rFonts w:ascii="Arial" w:eastAsia="Arial" w:hAnsi="Arial" w:cs="Arial"/>
          <w:b w:val="0"/>
          <w:caps w:val="0"/>
          <w:strike w:val="0"/>
          <w:color w:val="auto"/>
          <w:sz w:val="24"/>
          <w:u w:val="none"/>
        </w:rPr>
      </w:pPr>
      <w:r>
        <w:rPr>
          <w:rFonts w:ascii="Arial" w:eastAsia="Arial" w:hAnsi="Arial" w:cs="Arial"/>
          <w:b/>
          <w:sz w:val="24"/>
        </w:rPr>
        <w:t>§ 2. </w:t>
      </w:r>
      <w:r>
        <w:rPr>
          <w:rFonts w:ascii="Arial" w:eastAsia="Arial" w:hAnsi="Arial" w:cs="Arial"/>
          <w:b w:val="0"/>
          <w:caps w:val="0"/>
          <w:strike w:val="0"/>
          <w:color w:val="auto"/>
          <w:sz w:val="24"/>
          <w:u w:val="none"/>
        </w:rPr>
        <w:t>Wykonanie uchwały powierza się Prezydentowi Miasta.</w:t>
      </w:r>
    </w:p>
    <w:p w:rsidR="00A77B3E">
      <w:pPr>
        <w:keepNext/>
        <w:keepLines/>
        <w:spacing w:before="120" w:after="120" w:line="240" w:lineRule="auto"/>
        <w:ind w:left="0" w:right="0" w:firstLine="340"/>
        <w:jc w:val="left"/>
        <w:rPr>
          <w:rFonts w:ascii="Arial" w:eastAsia="Arial" w:hAnsi="Arial" w:cs="Arial"/>
          <w:b w:val="0"/>
          <w:caps w:val="0"/>
          <w:strike w:val="0"/>
          <w:color w:val="auto"/>
          <w:sz w:val="24"/>
          <w:u w:val="none"/>
        </w:rPr>
      </w:pPr>
      <w:r>
        <w:rPr>
          <w:rFonts w:ascii="Arial" w:eastAsia="Arial" w:hAnsi="Arial" w:cs="Arial"/>
          <w:b/>
          <w:sz w:val="24"/>
        </w:rPr>
        <w:t>§ 3. </w:t>
      </w:r>
      <w:r>
        <w:rPr>
          <w:rFonts w:ascii="Arial" w:eastAsia="Arial" w:hAnsi="Arial" w:cs="Arial"/>
          <w:b w:val="0"/>
          <w:caps w:val="0"/>
          <w:strike w:val="0"/>
          <w:color w:val="auto"/>
          <w:sz w:val="24"/>
          <w:u w:val="none"/>
        </w:rPr>
        <w:t>Uchwała wchodzi w</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życie z</w:t>
      </w:r>
      <w:r>
        <w:rPr>
          <w:rFonts w:ascii="Arial" w:eastAsia="Arial" w:hAnsi="Arial" w:cs="Arial"/>
          <w:b w:val="0"/>
          <w:caps w:val="0"/>
          <w:strike w:val="0"/>
          <w:color w:val="auto"/>
          <w:sz w:val="24"/>
          <w:u w:val="none"/>
        </w:rPr>
        <w:t> </w:t>
      </w:r>
      <w:r>
        <w:rPr>
          <w:rFonts w:ascii="Arial" w:eastAsia="Arial" w:hAnsi="Arial" w:cs="Arial"/>
          <w:b w:val="0"/>
          <w:caps w:val="0"/>
          <w:strike w:val="0"/>
          <w:color w:val="auto"/>
          <w:sz w:val="24"/>
          <w:u w:val="none"/>
        </w:rPr>
        <w:t>dniem podjęcia.</w:t>
      </w:r>
    </w:p>
    <w:p w:rsidR="00A77B3E">
      <w:pPr>
        <w:keepNext/>
        <w:keepLines/>
        <w:spacing w:before="120" w:after="120" w:line="240" w:lineRule="auto"/>
        <w:ind w:left="0" w:right="0" w:firstLine="340"/>
        <w:jc w:val="left"/>
        <w:rPr>
          <w:rFonts w:ascii="Arial" w:eastAsia="Arial" w:hAnsi="Arial" w:cs="Arial"/>
          <w:b w:val="0"/>
          <w:caps w:val="0"/>
          <w:strike w:val="0"/>
          <w:color w:val="auto"/>
          <w:sz w:val="24"/>
          <w:u w:val="none"/>
        </w:rPr>
      </w:pPr>
    </w:p>
    <w:p w:rsidR="00A77B3E">
      <w:pPr>
        <w:keepNext/>
        <w:spacing w:before="0" w:after="0"/>
        <w:rPr>
          <w:rFonts w:ascii="Arial" w:eastAsia="Arial" w:hAnsi="Arial" w:cs="Arial"/>
          <w:b w:val="0"/>
          <w:i w:val="0"/>
          <w:caps w:val="0"/>
          <w:strike w:val="0"/>
          <w:color w:val="auto"/>
          <w:sz w:val="24"/>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Arial" w:eastAsia="Arial" w:hAnsi="Arial" w:cs="Arial"/>
                <w:b w:val="0"/>
                <w:bCs w:val="0"/>
                <w:i w:val="0"/>
                <w:iCs w:val="0"/>
                <w:smallCaps w:val="0"/>
                <w:color w:val="000000"/>
                <w:sz w:val="24"/>
              </w:rPr>
            </w:pPr>
          </w:p>
        </w:tc>
        <w:tc>
          <w:tcPr>
            <w:tcW w:w="2500" w:type="pct"/>
            <w:noWrap w:val="0"/>
            <w:tcMar>
              <w:top w:w="0" w:type="dxa"/>
              <w:left w:w="0" w:type="dxa"/>
              <w:bottom w:w="0" w:type="dxa"/>
              <w:right w:w="0" w:type="dxa"/>
            </w:tcMar>
            <w:vAlign w:val="top"/>
            <w:hideMark/>
          </w:tcPr>
          <w:p>
            <w:pPr>
              <w:keepNext/>
              <w:keepLines/>
              <w:spacing w:before="100" w:after="40"/>
              <w:ind w:left="1134" w:right="1134" w:firstLine="0"/>
              <w:jc w:val="center"/>
              <w:rPr>
                <w:rFonts w:ascii="Arial" w:eastAsia="Arial" w:hAnsi="Arial" w:cs="Arial"/>
                <w:b w:val="0"/>
                <w:bCs w:val="0"/>
                <w:i w:val="0"/>
                <w:iCs w:val="0"/>
                <w:smallCaps w:val="0"/>
                <w:color w:val="000000"/>
                <w:sz w:val="24"/>
              </w:rPr>
            </w:pPr>
            <w:r>
              <w:rPr>
                <w:rFonts w:ascii="Arial" w:eastAsia="Arial" w:hAnsi="Arial" w:cs="Arial"/>
                <w:b w:val="0"/>
                <w:bCs w:val="0"/>
                <w:i w:val="0"/>
                <w:iCs w:val="0"/>
                <w:smallCaps w:val="0"/>
                <w:color w:val="000000"/>
                <w:sz w:val="24"/>
              </w:rPr>
              <w:t>Przewodniczący Rady Miejskiej</w:t>
            </w:r>
            <w:r>
              <w:rPr>
                <w:rFonts w:ascii="Arial" w:eastAsia="Arial" w:hAnsi="Arial" w:cs="Arial"/>
                <w:b w:val="0"/>
                <w:bCs w:val="0"/>
                <w:i w:val="0"/>
                <w:iCs w:val="0"/>
                <w:smallCaps w:val="0"/>
                <w:color w:val="000000"/>
                <w:sz w:val="24"/>
              </w:rPr>
              <w:br/>
            </w:r>
            <w:r>
              <w:rPr>
                <w:rFonts w:ascii="Arial" w:eastAsia="Arial" w:hAnsi="Arial" w:cs="Arial"/>
                <w:b w:val="0"/>
                <w:bCs w:val="0"/>
                <w:i w:val="0"/>
                <w:iCs w:val="0"/>
                <w:smallCaps w:val="0"/>
                <w:color w:val="000000"/>
                <w:sz w:val="24"/>
              </w:rPr>
              <w:br/>
            </w:r>
            <w:r>
              <w:rPr>
                <w:rFonts w:ascii="Arial" w:eastAsia="Arial" w:hAnsi="Arial" w:cs="Arial"/>
                <w:b w:val="0"/>
                <w:bCs w:val="0"/>
                <w:i w:val="0"/>
                <w:iCs w:val="0"/>
                <w:smallCaps w:val="0"/>
                <w:color w:val="000000"/>
                <w:sz w:val="24"/>
              </w:rPr>
              <w:br/>
            </w:r>
            <w:r>
              <w:rPr>
                <w:b/>
                <w:i w:val="0"/>
              </w:rPr>
              <w:t>Michał Staniszewski</w:t>
            </w:r>
          </w:p>
        </w:tc>
      </w:tr>
    </w:tbl>
    <w:p w:rsidR="00A77B3E">
      <w:pPr>
        <w:keepNext/>
        <w:spacing w:before="0" w:after="0"/>
        <w:rPr>
          <w:rFonts w:ascii="Arial" w:eastAsia="Arial" w:hAnsi="Arial" w:cs="Arial"/>
          <w:b w:val="0"/>
          <w:i w:val="0"/>
          <w:caps w:val="0"/>
          <w:strike w:val="0"/>
          <w:color w:val="auto"/>
          <w:sz w:val="24"/>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280" w:after="280" w:line="276" w:lineRule="auto"/>
        <w:ind w:left="4535" w:right="0" w:firstLine="0"/>
        <w:jc w:val="left"/>
        <w:rPr>
          <w:rFonts w:ascii="Arial" w:eastAsia="Arial" w:hAnsi="Arial" w:cs="Arial"/>
          <w:b w:val="0"/>
          <w:i w:val="0"/>
          <w:caps w:val="0"/>
          <w:strike w:val="0"/>
          <w:color w:val="auto"/>
          <w:sz w:val="24"/>
          <w:u w:val="none"/>
          <w:vertAlign w:val="baseline"/>
        </w:rPr>
        <w:sectPr>
          <w:footerReference w:type="default" r:id="rId5"/>
          <w:endnotePr>
            <w:numFmt w:val="decimal"/>
          </w:endnotePr>
          <w:type w:val="nextPage"/>
          <w:pgSz w:w="11906" w:h="16838"/>
          <w:pgMar w:top="1417" w:right="1020" w:bottom="992" w:left="1020" w:header="708" w:footer="708" w:gutter="0"/>
          <w:cols w:space="708"/>
          <w:docGrid w:linePitch="360"/>
        </w:sectPr>
      </w:pPr>
      <w:r>
        <w:t>Załącznik do uchwały</w:t>
      </w:r>
      <w:r>
        <w:rPr>
          <w:rFonts w:ascii="Arial" w:eastAsia="Arial" w:hAnsi="Arial" w:cs="Arial"/>
          <w:b w:val="0"/>
          <w:i w:val="0"/>
          <w:caps w:val="0"/>
          <w:strike w:val="0"/>
          <w:color w:val="auto"/>
          <w:sz w:val="24"/>
          <w:u w:val="none"/>
          <w:vertAlign w:val="baseline"/>
        </w:rPr>
        <w:t xml:space="preserve"> Nr LXXIII/930/23</w:t>
      </w:r>
      <w:r>
        <w:rPr>
          <w:rFonts w:ascii="Arial" w:eastAsia="Arial" w:hAnsi="Arial" w:cs="Arial"/>
          <w:b w:val="0"/>
          <w:i w:val="0"/>
          <w:caps w:val="0"/>
          <w:strike w:val="0"/>
          <w:color w:val="auto"/>
          <w:sz w:val="24"/>
          <w:u w:val="none"/>
          <w:vertAlign w:val="baseline"/>
        </w:rPr>
        <w:br/>
      </w:r>
      <w:r>
        <w:t>Rady Miejskiej w Bytomiu</w:t>
      </w:r>
      <w:r>
        <w:rPr>
          <w:rFonts w:ascii="Arial" w:eastAsia="Arial" w:hAnsi="Arial" w:cs="Arial"/>
          <w:b w:val="0"/>
          <w:i w:val="0"/>
          <w:caps w:val="0"/>
          <w:strike w:val="0"/>
          <w:color w:val="auto"/>
          <w:sz w:val="24"/>
          <w:u w:val="none"/>
          <w:vertAlign w:val="baseline"/>
        </w:rPr>
        <w:br/>
      </w:r>
      <w:r>
        <w:rPr>
          <w:rFonts w:ascii="Arial" w:eastAsia="Arial" w:hAnsi="Arial" w:cs="Arial"/>
          <w:sz w:val="24"/>
        </w:rPr>
        <w:t>z dnia 30 stycznia 2023 r.</w:t>
      </w:r>
      <w:r>
        <w:rPr>
          <w:rFonts w:ascii="Arial" w:eastAsia="Arial" w:hAnsi="Arial" w:cs="Arial"/>
          <w:b w:val="0"/>
          <w:i w:val="0"/>
          <w:caps w:val="0"/>
          <w:strike w:val="0"/>
          <w:color w:val="auto"/>
          <w:sz w:val="24"/>
          <w:u w:val="none"/>
          <w:vertAlign w:val="baseline"/>
        </w:rPr>
        <w:br/>
      </w:r>
      <w:hyperlink r:id="rId6" w:history="1">
        <w:r>
          <w:rPr>
            <w:rStyle w:val="Hyperlink"/>
            <w:rFonts w:ascii="Arial" w:eastAsia="Arial" w:hAnsi="Arial" w:cs="Arial"/>
            <w:b w:val="0"/>
            <w:i w:val="0"/>
            <w:caps w:val="0"/>
            <w:strike w:val="0"/>
            <w:color w:val="auto"/>
            <w:sz w:val="24"/>
            <w:u w:val="none"/>
            <w:vertAlign w:val="baseline"/>
          </w:rPr>
          <w:t>Zalacznik1.pdf</w:t>
        </w:r>
      </w:hyperlink>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rFonts w:eastAsia="Times New Roman" w:cs="Times New Roman"/>
          <w:szCs w:val="20"/>
        </w:rPr>
      </w:pPr>
      <w:r>
        <w:rPr>
          <w:rFonts w:eastAsia="Times New Roman" w:cs="Times New Roman"/>
          <w:caps/>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rFonts w:eastAsia="Times New Roman" w:cs="Times New Roman"/>
          <w:szCs w:val="20"/>
        </w:rPr>
      </w:pPr>
      <w:r>
        <w:rPr>
          <w:rFonts w:eastAsia="Times New Roman" w:cs="Times New Roman"/>
          <w:szCs w:val="20"/>
        </w:rPr>
        <w:t>Strategia Rozwoju Miasta Bytomia „Bytom 2030+” stanowi istotny dokument planowania rozwoju lokalnego, określający kluczowe kierunki rozwoju miasta. Wskazuje wizję, cele strategiczne i operacyjne oraz kierunki działań wyznaczone do realizacji w okresie jej obowiązywania. Opracowanie strategii pozwala określić najbardziej efektywne działania gwarantujące skuteczny rozwój całego obszaru, co bezpośrednio wpływa na rozwój infrastruktury, przedsiębiorczości oraz powstanie nowych inicjatyw społecznych. Podczas opracowywania strategii przyjęto zasadę wykorzystania potencjału miasta</w:t>
      </w:r>
      <w:r>
        <w:rPr>
          <w:rFonts w:eastAsia="Times New Roman" w:cs="Times New Roman"/>
          <w:szCs w:val="20"/>
        </w:rPr>
        <w:t xml:space="preserve"> </w:t>
      </w:r>
      <w:r>
        <w:rPr>
          <w:rFonts w:eastAsia="Times New Roman" w:cs="Times New Roman"/>
          <w:szCs w:val="20"/>
        </w:rPr>
        <w:t>i otoczenia. Strategia Rozwoju Miasta Bytomia „Bytom 2030+” wpisuje się w strategiczne myślenie widoczne we wcześniejszych opracowaniach tego typu. Jest spójna</w:t>
      </w:r>
      <w:r>
        <w:rPr>
          <w:rFonts w:eastAsia="Times New Roman" w:cs="Times New Roman"/>
          <w:szCs w:val="20"/>
        </w:rPr>
        <w:t xml:space="preserve"> </w:t>
      </w:r>
      <w:r>
        <w:rPr>
          <w:rFonts w:eastAsia="Times New Roman" w:cs="Times New Roman"/>
          <w:szCs w:val="20"/>
        </w:rPr>
        <w:t xml:space="preserve">z wytycznymi unijnymi w obecnym ich kształcie i koresponduje z dokumentami planistycznymi różnych szczebli, w tym m.in.: Europejskim Zielonym Ładem, Strategią na rzecz Odpowiedzialnego Rozwoju do roku 2020 (z perspektywą do 2030 r.), Krajową Strategią Rozwoju Regionalnego 2030, Koncepcją Przestrzennego Zagospodarowania Kraju 2030, Regionalnym Programem Operacyjnym Województwa Śląskiego na lata 2014 -2020, Planem Zagospodarowania Przestrzennego Województwa Śląskiego 2020+, Strategią Rozwoju Województwa Śląskiego „Śląskie 2030” </w:t>
      </w:r>
      <w:r>
        <w:rPr>
          <w:rFonts w:eastAsia="Times New Roman" w:cs="Times New Roman"/>
          <w:szCs w:val="20"/>
        </w:rPr>
        <w:t>–</w:t>
      </w:r>
      <w:r>
        <w:rPr>
          <w:rFonts w:eastAsia="Times New Roman" w:cs="Times New Roman"/>
          <w:szCs w:val="20"/>
        </w:rPr>
        <w:t xml:space="preserve"> Zielone Śląskie oraz innymi dokumentami planistycznymi Bytomia.</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rFonts w:eastAsia="Times New Roman" w:cs="Times New Roman"/>
          <w:szCs w:val="20"/>
        </w:rPr>
      </w:pPr>
      <w:r>
        <w:rPr>
          <w:rFonts w:eastAsia="Times New Roman" w:cs="Times New Roman"/>
          <w:szCs w:val="20"/>
        </w:rPr>
        <w:t>W dniach od 26 września do 31 października 2022 r. przeprowadzono konsultacje dokumentu projekt Strategii Rozwoju Miasta Bytomia „Bytom 2030+” zgodnie z zasadami oraz w trybie określonym w uchwale nr XL/556/21 Rady Miejskiej w Bytomiu z dnia 22 lutego 2021 r. w sprawie określenia szczegółowego trybu i harmonogramu opracowania projektu „Strategii Rozwoju Miasta Bytomia na lata 2021-2030”.</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rFonts w:eastAsia="Times New Roman" w:cs="Times New Roman"/>
          <w:szCs w:val="20"/>
        </w:rPr>
      </w:pPr>
      <w:r>
        <w:rPr>
          <w:rFonts w:eastAsia="Times New Roman" w:cs="Times New Roman"/>
          <w:szCs w:val="20"/>
        </w:rPr>
        <w:t>Zgodnie z obowiązującymi przepisami, ww projekt został pozytywnie zaopiniowany przez sąsiednie gminy, dyrektora Regionalnego Zarządu Gospodarki Wodnej Państwowego Gospodarstwa Wodnego Wody Polskie oraz przez Zarząd Województwa Śląskiego.</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rFonts w:eastAsia="Times New Roman" w:cs="Times New Roman"/>
          <w:szCs w:val="20"/>
        </w:rPr>
      </w:pPr>
      <w:r>
        <w:rPr>
          <w:rFonts w:eastAsia="Times New Roman" w:cs="Times New Roman"/>
          <w:szCs w:val="20"/>
        </w:rPr>
        <w:t>Na potrzeby Strategii Rozwoju Miasta Bytomia „Bytom 2030+”, po uzgodnieniu</w:t>
      </w:r>
      <w:r>
        <w:rPr>
          <w:rFonts w:eastAsia="Times New Roman" w:cs="Times New Roman"/>
          <w:szCs w:val="20"/>
        </w:rPr>
        <w:t xml:space="preserve"> </w:t>
      </w:r>
      <w:r>
        <w:rPr>
          <w:rFonts w:eastAsia="Times New Roman" w:cs="Times New Roman"/>
          <w:szCs w:val="20"/>
        </w:rPr>
        <w:t>z właściwymi organami tj. Regionalnym Dyrektorem Ochrony Środowiska w Katowicach oraz Państwowym Wojewódzkim Inspektorem Sanitarnym w Katowicach odstąpiono od przeprowadzenia strategicznej oceny oddziaływania na środowisko.</w:t>
      </w:r>
    </w:p>
    <w:sectPr>
      <w:footerReference w:type="default" r:id="rId7"/>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rial" w:eastAsia="Arial" w:hAnsi="Arial" w:cs="Arial"/>
              <w:b w:val="0"/>
              <w:sz w:val="18"/>
            </w:rPr>
          </w:pPr>
          <w:r>
            <w:rPr>
              <w:rFonts w:ascii="Arial" w:eastAsia="Arial" w:hAnsi="Arial" w:cs="Arial"/>
              <w:b w:val="0"/>
              <w:sz w:val="18"/>
            </w:rPr>
            <w:t>Id: A0F4B4BD-FE91-4B62-8495-323813C19F8E.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rial" w:eastAsia="Arial" w:hAnsi="Arial" w:cs="Arial"/>
              <w:b w:val="0"/>
              <w:sz w:val="18"/>
            </w:rPr>
          </w:pPr>
          <w:r>
            <w:rPr>
              <w:rFonts w:ascii="Arial" w:eastAsia="Arial" w:hAnsi="Arial" w:cs="Arial"/>
              <w:b w:val="0"/>
              <w:sz w:val="18"/>
            </w:rPr>
            <w:t xml:space="preserve">Strona </w:t>
          </w:r>
          <w:r>
            <w:rPr>
              <w:rFonts w:ascii="Arial" w:eastAsia="Arial" w:hAnsi="Arial" w:cs="Arial"/>
              <w:b w:val="0"/>
              <w:sz w:val="18"/>
            </w:rPr>
            <w:fldChar w:fldCharType="begin"/>
          </w:r>
          <w:r>
            <w:rPr>
              <w:rFonts w:ascii="Arial" w:eastAsia="Arial" w:hAnsi="Arial" w:cs="Arial"/>
              <w:b w:val="0"/>
              <w:sz w:val="18"/>
            </w:rPr>
            <w:instrText>PAGE</w:instrText>
          </w:r>
          <w:r>
            <w:rPr>
              <w:rFonts w:ascii="Arial" w:eastAsia="Arial" w:hAnsi="Arial" w:cs="Arial"/>
              <w:b w:val="0"/>
              <w:sz w:val="18"/>
            </w:rPr>
            <w:fldChar w:fldCharType="separate"/>
          </w:r>
          <w:r>
            <w:rPr>
              <w:rFonts w:ascii="Arial" w:eastAsia="Arial" w:hAnsi="Arial" w:cs="Arial"/>
              <w:b w:val="0"/>
              <w:sz w:val="18"/>
            </w:rPr>
            <w:fldChar w:fldCharType="end"/>
          </w:r>
        </w:p>
      </w:tc>
    </w:tr>
  </w:tbl>
  <w:p>
    <w:pPr>
      <w:rPr>
        <w:rFonts w:ascii="Arial" w:eastAsia="Arial" w:hAnsi="Arial" w:cs="Arial"/>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rial" w:eastAsia="Arial" w:hAnsi="Arial" w:cs="Arial"/>
              <w:b w:val="0"/>
              <w:sz w:val="18"/>
            </w:rPr>
          </w:pPr>
          <w:r>
            <w:rPr>
              <w:rFonts w:ascii="Arial" w:eastAsia="Arial" w:hAnsi="Arial" w:cs="Arial"/>
              <w:b w:val="0"/>
              <w:sz w:val="18"/>
            </w:rPr>
            <w:t>Id: A0F4B4BD-FE91-4B62-8495-323813C19F8E.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rial" w:eastAsia="Arial" w:hAnsi="Arial" w:cs="Arial"/>
              <w:b w:val="0"/>
              <w:sz w:val="18"/>
            </w:rPr>
          </w:pPr>
          <w:r>
            <w:rPr>
              <w:rFonts w:ascii="Arial" w:eastAsia="Arial" w:hAnsi="Arial" w:cs="Arial"/>
              <w:b w:val="0"/>
              <w:sz w:val="18"/>
            </w:rPr>
            <w:t xml:space="preserve">Strona </w:t>
          </w:r>
          <w:r>
            <w:rPr>
              <w:rFonts w:ascii="Arial" w:eastAsia="Arial" w:hAnsi="Arial" w:cs="Arial"/>
              <w:b w:val="0"/>
              <w:sz w:val="18"/>
            </w:rPr>
            <w:fldChar w:fldCharType="begin"/>
          </w:r>
          <w:r>
            <w:rPr>
              <w:rFonts w:ascii="Arial" w:eastAsia="Arial" w:hAnsi="Arial" w:cs="Arial"/>
              <w:b w:val="0"/>
              <w:sz w:val="18"/>
            </w:rPr>
            <w:instrText>PAGE</w:instrText>
          </w:r>
          <w:r>
            <w:rPr>
              <w:rFonts w:ascii="Arial" w:eastAsia="Arial" w:hAnsi="Arial" w:cs="Arial"/>
              <w:b w:val="0"/>
              <w:sz w:val="18"/>
            </w:rPr>
            <w:fldChar w:fldCharType="separate"/>
          </w:r>
          <w:r>
            <w:rPr>
              <w:rFonts w:ascii="Arial" w:eastAsia="Arial" w:hAnsi="Arial" w:cs="Arial"/>
              <w:b w:val="0"/>
              <w:sz w:val="18"/>
            </w:rPr>
            <w:fldChar w:fldCharType="end"/>
          </w:r>
        </w:p>
      </w:tc>
    </w:tr>
  </w:tbl>
  <w:p>
    <w:pPr>
      <w:rPr>
        <w:rFonts w:ascii="Arial" w:eastAsia="Arial" w:hAnsi="Arial" w:cs="Arial"/>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rial" w:eastAsia="Arial" w:hAnsi="Arial" w:cs="Arial"/>
              <w:b w:val="0"/>
              <w:sz w:val="18"/>
            </w:rPr>
          </w:pPr>
          <w:r>
            <w:rPr>
              <w:rFonts w:ascii="Arial" w:eastAsia="Arial" w:hAnsi="Arial" w:cs="Arial"/>
              <w:b w:val="0"/>
              <w:sz w:val="18"/>
            </w:rPr>
            <w:t>Id: A0F4B4BD-FE91-4B62-8495-323813C19F8E.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rial" w:eastAsia="Arial" w:hAnsi="Arial" w:cs="Arial"/>
              <w:b w:val="0"/>
              <w:sz w:val="18"/>
            </w:rPr>
          </w:pPr>
          <w:r>
            <w:rPr>
              <w:rFonts w:ascii="Arial" w:eastAsia="Arial" w:hAnsi="Arial" w:cs="Arial"/>
              <w:b w:val="0"/>
              <w:sz w:val="18"/>
            </w:rPr>
            <w:t xml:space="preserve">Strona </w:t>
          </w:r>
          <w:r>
            <w:rPr>
              <w:rFonts w:ascii="Arial" w:eastAsia="Arial" w:hAnsi="Arial" w:cs="Arial"/>
              <w:b w:val="0"/>
              <w:sz w:val="18"/>
            </w:rPr>
            <w:fldChar w:fldCharType="begin"/>
          </w:r>
          <w:r>
            <w:rPr>
              <w:rFonts w:ascii="Arial" w:eastAsia="Arial" w:hAnsi="Arial" w:cs="Arial"/>
              <w:b w:val="0"/>
              <w:sz w:val="18"/>
            </w:rPr>
            <w:instrText>PAGE</w:instrText>
          </w:r>
          <w:r>
            <w:rPr>
              <w:rFonts w:ascii="Arial" w:eastAsia="Arial" w:hAnsi="Arial" w:cs="Arial"/>
              <w:b w:val="0"/>
              <w:sz w:val="18"/>
            </w:rPr>
            <w:fldChar w:fldCharType="separate"/>
          </w:r>
          <w:r>
            <w:rPr>
              <w:rFonts w:ascii="Arial" w:eastAsia="Arial" w:hAnsi="Arial" w:cs="Arial"/>
              <w:b w:val="0"/>
              <w:sz w:val="18"/>
            </w:rPr>
            <w:fldChar w:fldCharType="end"/>
          </w:r>
        </w:p>
      </w:tc>
    </w:tr>
  </w:tbl>
  <w:p>
    <w:pPr>
      <w:rPr>
        <w:rFonts w:ascii="Arial" w:eastAsia="Arial" w:hAnsi="Arial" w:cs="Arial"/>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Arial" w:eastAsia="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Zalacznik1.pdf" TargetMode="Externa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Bytomiu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LXXIII/930/23 z dnia 30 stycznia 2023 r.</dc:title>
  <dc:subject>w sprawie przyjęcia Strategii Rozwoju Miasta Bytomia „Bytom 2030+”</dc:subject>
  <dc:creator>masocha</dc:creator>
  <cp:lastModifiedBy>masocha</cp:lastModifiedBy>
  <cp:revision>1</cp:revision>
  <dcterms:created xsi:type="dcterms:W3CDTF">2023-02-01T11:27:45Z</dcterms:created>
  <dcterms:modified xsi:type="dcterms:W3CDTF">2023-02-01T11:27:45Z</dcterms:modified>
  <cp:category>Akt prawny</cp:category>
</cp:coreProperties>
</file>